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FD" w:rsidRPr="003E48FD" w:rsidRDefault="00DB1F71" w:rsidP="009800FD">
      <w:pPr>
        <w:jc w:val="both"/>
        <w:rPr>
          <w:rFonts w:eastAsia="細明體"/>
          <w:b/>
          <w:bCs/>
          <w:kern w:val="0"/>
        </w:rPr>
      </w:pPr>
      <w:r>
        <w:rPr>
          <w:rFonts w:eastAsia="細明體"/>
          <w:b/>
          <w:bCs/>
          <w:kern w:val="0"/>
        </w:rPr>
        <w:t>GLOSSARY</w:t>
      </w:r>
      <w:bookmarkStart w:id="0" w:name="_GoBack"/>
      <w:bookmarkEnd w:id="0"/>
    </w:p>
    <w:p w:rsidR="009800FD" w:rsidRPr="003E48FD" w:rsidRDefault="009800FD" w:rsidP="009800FD">
      <w:pPr>
        <w:jc w:val="both"/>
        <w:rPr>
          <w:rFonts w:eastAsia="細明體"/>
          <w:kern w:val="0"/>
        </w:rPr>
      </w:pPr>
    </w:p>
    <w:p w:rsidR="009800FD" w:rsidRPr="003E48FD" w:rsidRDefault="009800FD" w:rsidP="009800FD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087"/>
      </w:tblGrid>
      <w:tr w:rsidR="009800FD" w:rsidRPr="003E48FD" w:rsidTr="00D34B72">
        <w:trPr>
          <w:trHeight w:val="521"/>
        </w:trPr>
        <w:tc>
          <w:tcPr>
            <w:tcW w:w="1673" w:type="dxa"/>
          </w:tcPr>
          <w:p w:rsidR="009800FD" w:rsidRPr="003E48FD" w:rsidRDefault="009800FD" w:rsidP="00D34B72">
            <w:pPr>
              <w:jc w:val="both"/>
              <w:rPr>
                <w:rFonts w:eastAsia="細明體"/>
                <w:b/>
                <w:bCs/>
                <w:kern w:val="0"/>
              </w:rPr>
            </w:pPr>
            <w:r w:rsidRPr="003E48FD">
              <w:rPr>
                <w:rFonts w:eastAsia="細明體"/>
                <w:b/>
                <w:bCs/>
                <w:kern w:val="0"/>
              </w:rPr>
              <w:t xml:space="preserve">Abbreviation </w:t>
            </w:r>
          </w:p>
        </w:tc>
        <w:tc>
          <w:tcPr>
            <w:tcW w:w="7087" w:type="dxa"/>
          </w:tcPr>
          <w:p w:rsidR="009800FD" w:rsidRPr="003E48FD" w:rsidRDefault="009800FD" w:rsidP="00D34B72">
            <w:pPr>
              <w:jc w:val="both"/>
              <w:rPr>
                <w:rFonts w:eastAsia="細明體"/>
                <w:kern w:val="0"/>
              </w:rPr>
            </w:pPr>
            <w:r>
              <w:rPr>
                <w:rFonts w:eastAsia="細明體"/>
                <w:b/>
                <w:bCs/>
                <w:kern w:val="0"/>
              </w:rPr>
              <w:t>Description</w:t>
            </w:r>
            <w:r w:rsidRPr="003E48FD">
              <w:rPr>
                <w:rFonts w:eastAsia="細明體"/>
                <w:bCs/>
                <w:kern w:val="0"/>
              </w:rPr>
              <w:t xml:space="preserve">  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EE037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7087" w:type="dxa"/>
          </w:tcPr>
          <w:p w:rsidR="009800FD" w:rsidRPr="00EE037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Plus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Minus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rFonts w:eastAsia="Times New Roman"/>
              </w:rPr>
            </w:pPr>
            <w:r w:rsidRPr="004C635F">
              <w:rPr>
                <w:rFonts w:eastAsia="Times New Roman"/>
              </w:rPr>
              <w:t>±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Plus or minus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  <w:vAlign w:val="bottom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87" w:type="dxa"/>
            <w:vAlign w:val="bottom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sz w:val="22"/>
                <w:szCs w:val="22"/>
              </w:rPr>
              <w:t>Percent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D30B06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vertAlign w:val="superscript"/>
              </w:rPr>
            </w:pPr>
            <w:r w:rsidRPr="00D30B06">
              <w:rPr>
                <w:vertAlign w:val="superscript"/>
              </w:rPr>
              <w:t>o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jc w:val="both"/>
            </w:pPr>
            <w:r>
              <w:t xml:space="preserve">Degree </w:t>
            </w:r>
          </w:p>
        </w:tc>
      </w:tr>
      <w:tr w:rsidR="00CA0F3A" w:rsidRPr="00EE037A" w:rsidTr="00D34B72">
        <w:trPr>
          <w:trHeight w:val="57"/>
        </w:trPr>
        <w:tc>
          <w:tcPr>
            <w:tcW w:w="1673" w:type="dxa"/>
          </w:tcPr>
          <w:p w:rsidR="00CA0F3A" w:rsidRPr="00CA0F3A" w:rsidRDefault="00CA0F3A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sz w:val="22"/>
                <w:szCs w:val="22"/>
              </w:rPr>
            </w:pPr>
            <w:r w:rsidRPr="00CA0F3A">
              <w:rPr>
                <w:sz w:val="22"/>
                <w:szCs w:val="22"/>
              </w:rPr>
              <w:t>AC</w:t>
            </w:r>
          </w:p>
        </w:tc>
        <w:tc>
          <w:tcPr>
            <w:tcW w:w="7087" w:type="dxa"/>
          </w:tcPr>
          <w:p w:rsidR="00CA0F3A" w:rsidRPr="00CA0F3A" w:rsidRDefault="00CA0F3A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Alternating Current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CA0F3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sz w:val="22"/>
                <w:szCs w:val="22"/>
              </w:rPr>
            </w:pPr>
            <w:r w:rsidRPr="00CA0F3A">
              <w:rPr>
                <w:sz w:val="22"/>
                <w:szCs w:val="22"/>
              </w:rPr>
              <w:t>ArchSD</w:t>
            </w:r>
          </w:p>
        </w:tc>
        <w:tc>
          <w:tcPr>
            <w:tcW w:w="7087" w:type="dxa"/>
          </w:tcPr>
          <w:p w:rsidR="009800FD" w:rsidRPr="00CA0F3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sz w:val="22"/>
                <w:szCs w:val="22"/>
              </w:rPr>
            </w:pPr>
            <w:r w:rsidRPr="00CA0F3A">
              <w:rPr>
                <w:sz w:val="22"/>
                <w:szCs w:val="22"/>
              </w:rPr>
              <w:t>Architectural Services Department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cm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 xml:space="preserve">Centimetre 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CMH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Chinese Medicine Hospital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CRI</w:t>
            </w:r>
          </w:p>
        </w:tc>
        <w:tc>
          <w:tcPr>
            <w:tcW w:w="7087" w:type="dxa"/>
          </w:tcPr>
          <w:p w:rsidR="009800FD" w:rsidRPr="003425B8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Colour rendering index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EE037A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d10</w:t>
            </w:r>
          </w:p>
        </w:tc>
        <w:tc>
          <w:tcPr>
            <w:tcW w:w="7087" w:type="dxa"/>
          </w:tcPr>
          <w:p w:rsidR="009800FD" w:rsidRPr="00F53872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="DengXian"/>
                <w:color w:val="242424"/>
              </w:rPr>
            </w:pPr>
            <w:r w:rsidRPr="00E54063">
              <w:rPr>
                <w:color w:val="242424"/>
              </w:rPr>
              <w:t>The diameter in which the center is Ec (maximum illumination) and the outer limit is 10% of Ec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>
              <w:rPr>
                <w:lang w:eastAsia="zh-HK"/>
              </w:rPr>
              <w:t>d50</w:t>
            </w:r>
          </w:p>
        </w:tc>
        <w:tc>
          <w:tcPr>
            <w:tcW w:w="7087" w:type="dxa"/>
          </w:tcPr>
          <w:p w:rsidR="009800FD" w:rsidRPr="00256DC8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F53872">
              <w:rPr>
                <w:color w:val="242424"/>
              </w:rPr>
              <w:t>The diameter in which the center is Ec and the outer limit is 50% of maximum illumination.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 w:rsidRPr="003040E3">
              <w:rPr>
                <w:lang w:eastAsia="zh-HK"/>
              </w:rPr>
              <w:t>Ec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3040E3">
              <w:t>Central Illuminance</w:t>
            </w:r>
          </w:p>
        </w:tc>
      </w:tr>
      <w:tr w:rsidR="002E4F2B" w:rsidRPr="00EE037A" w:rsidTr="00D34B72">
        <w:trPr>
          <w:trHeight w:val="57"/>
        </w:trPr>
        <w:tc>
          <w:tcPr>
            <w:tcW w:w="1673" w:type="dxa"/>
          </w:tcPr>
          <w:p w:rsidR="002E4F2B" w:rsidRPr="003040E3" w:rsidRDefault="002E4F2B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>
              <w:rPr>
                <w:lang w:eastAsia="zh-HK"/>
              </w:rPr>
              <w:t>Ee</w:t>
            </w:r>
          </w:p>
        </w:tc>
        <w:tc>
          <w:tcPr>
            <w:tcW w:w="7087" w:type="dxa"/>
          </w:tcPr>
          <w:p w:rsidR="002E4F2B" w:rsidRPr="003040E3" w:rsidRDefault="002E4F2B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>
              <w:t>Irradiance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 w:rsidRPr="003040E3">
              <w:rPr>
                <w:bCs/>
                <w:kern w:val="1"/>
                <w:lang w:eastAsia="zh-HK"/>
              </w:rPr>
              <w:t>EMSD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040E3">
              <w:t>Electrical and Mechanical Services Department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FS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Fire Services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 w:rsidRPr="003040E3">
              <w:rPr>
                <w:lang w:eastAsia="zh-HK"/>
              </w:rPr>
              <w:t>HD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3040E3">
              <w:t>High Definition</w:t>
            </w:r>
          </w:p>
        </w:tc>
      </w:tr>
      <w:tr w:rsidR="002B1E9D" w:rsidRPr="00EE037A" w:rsidTr="00D34B72">
        <w:trPr>
          <w:trHeight w:val="57"/>
        </w:trPr>
        <w:tc>
          <w:tcPr>
            <w:tcW w:w="1673" w:type="dxa"/>
          </w:tcPr>
          <w:p w:rsidR="002B1E9D" w:rsidRPr="003040E3" w:rsidRDefault="002B1E9D" w:rsidP="002B1E9D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>
              <w:rPr>
                <w:lang w:eastAsia="zh-HK"/>
              </w:rPr>
              <w:t>HKSAR</w:t>
            </w:r>
          </w:p>
        </w:tc>
        <w:tc>
          <w:tcPr>
            <w:tcW w:w="7087" w:type="dxa"/>
          </w:tcPr>
          <w:p w:rsidR="002B1E9D" w:rsidRPr="003040E3" w:rsidRDefault="002B1E9D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B1E9D">
              <w:t>Hong Kong Special</w:t>
            </w:r>
            <w:r>
              <w:t xml:space="preserve"> Administrative Region (HKSAR)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Hz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Hertz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ICE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Independent Checking Engineer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IEC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International Electrotechnical Commission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 w:rsidRPr="003040E3">
              <w:rPr>
                <w:kern w:val="0"/>
                <w:lang w:val="en-US" w:eastAsia="en-US"/>
              </w:rPr>
              <w:t>IP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 w:rsidRPr="003040E3">
              <w:rPr>
                <w:kern w:val="0"/>
                <w:lang w:val="en-US" w:eastAsia="en-US"/>
              </w:rPr>
              <w:t>Ingress Protection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ISO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International Organization for Standardization</w:t>
            </w:r>
          </w:p>
        </w:tc>
      </w:tr>
      <w:tr w:rsidR="00CA0F3A" w:rsidRPr="00EE037A" w:rsidTr="00D34B72">
        <w:trPr>
          <w:trHeight w:val="57"/>
        </w:trPr>
        <w:tc>
          <w:tcPr>
            <w:tcW w:w="1673" w:type="dxa"/>
          </w:tcPr>
          <w:p w:rsidR="00CA0F3A" w:rsidRDefault="00CA0F3A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K</w:t>
            </w:r>
          </w:p>
        </w:tc>
        <w:tc>
          <w:tcPr>
            <w:tcW w:w="7087" w:type="dxa"/>
          </w:tcPr>
          <w:p w:rsidR="00CA0F3A" w:rsidRDefault="00CA0F3A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Kelvin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 w:rsidRPr="003040E3">
              <w:t>kg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 w:rsidRPr="003040E3">
              <w:t>Kilogram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3040E3" w:rsidRDefault="005A2370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val="en-HK" w:eastAsia="zh-HK"/>
              </w:rPr>
            </w:pPr>
            <w:r>
              <w:rPr>
                <w:lang w:val="en-HK" w:eastAsia="zh-HK"/>
              </w:rPr>
              <w:t>m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3040E3">
              <w:t>Metre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>
              <w:rPr>
                <w:lang w:eastAsia="zh-HK"/>
              </w:rPr>
              <w:t>mm</w:t>
            </w:r>
          </w:p>
        </w:tc>
        <w:tc>
          <w:tcPr>
            <w:tcW w:w="7087" w:type="dxa"/>
          </w:tcPr>
          <w:p w:rsidR="009800FD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31450A">
              <w:t>Millimetre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eastAsia="zh-HK"/>
              </w:rPr>
            </w:pPr>
            <w:r>
              <w:rPr>
                <w:lang w:eastAsia="zh-HK"/>
              </w:rPr>
              <w:t>L1+L2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</w:pPr>
            <w:r>
              <w:t>Illumination Depth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Pr="00D30B06" w:rsidRDefault="009800FD" w:rsidP="00D34B72">
            <w:pPr>
              <w:tabs>
                <w:tab w:val="left" w:pos="1440"/>
              </w:tabs>
              <w:spacing w:after="100" w:afterAutospacing="1"/>
              <w:jc w:val="both"/>
              <w:rPr>
                <w:lang w:val="en-HK" w:eastAsia="zh-HK"/>
              </w:rPr>
            </w:pPr>
            <w:r>
              <w:rPr>
                <w:lang w:val="en-HK" w:eastAsia="zh-HK"/>
              </w:rPr>
              <w:t>LED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Light Emitting Diode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 xml:space="preserve">OT </w:t>
            </w:r>
          </w:p>
        </w:tc>
        <w:tc>
          <w:tcPr>
            <w:tcW w:w="7087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Operating Theatre</w:t>
            </w:r>
          </w:p>
        </w:tc>
      </w:tr>
      <w:tr w:rsidR="002B1E9D" w:rsidRPr="00EE037A" w:rsidTr="00D34B72">
        <w:trPr>
          <w:trHeight w:val="57"/>
        </w:trPr>
        <w:tc>
          <w:tcPr>
            <w:tcW w:w="1673" w:type="dxa"/>
          </w:tcPr>
          <w:p w:rsidR="002B1E9D" w:rsidRDefault="002B1E9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PBB</w:t>
            </w:r>
          </w:p>
        </w:tc>
        <w:tc>
          <w:tcPr>
            <w:tcW w:w="7087" w:type="dxa"/>
          </w:tcPr>
          <w:p w:rsidR="002B1E9D" w:rsidRDefault="002B1E9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Polybrominated B</w:t>
            </w:r>
            <w:r w:rsidRPr="002B1E9D">
              <w:t>iphenyls</w:t>
            </w:r>
          </w:p>
        </w:tc>
      </w:tr>
      <w:tr w:rsidR="002B1E9D" w:rsidRPr="00EE037A" w:rsidTr="00D34B72">
        <w:trPr>
          <w:trHeight w:val="57"/>
        </w:trPr>
        <w:tc>
          <w:tcPr>
            <w:tcW w:w="1673" w:type="dxa"/>
          </w:tcPr>
          <w:p w:rsidR="002B1E9D" w:rsidRDefault="002B1E9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PBDE</w:t>
            </w:r>
          </w:p>
        </w:tc>
        <w:tc>
          <w:tcPr>
            <w:tcW w:w="7087" w:type="dxa"/>
          </w:tcPr>
          <w:p w:rsidR="002B1E9D" w:rsidRDefault="002B1E9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Polybrominated Diphenyl E</w:t>
            </w:r>
            <w:r w:rsidRPr="002B1E9D">
              <w:t>thers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PCB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="DengXian"/>
              </w:rPr>
            </w:pPr>
            <w:r>
              <w:rPr>
                <w:rFonts w:eastAsia="DengXian"/>
              </w:rPr>
              <w:t>Printed Circuit Board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R9</w:t>
            </w:r>
          </w:p>
        </w:tc>
        <w:tc>
          <w:tcPr>
            <w:tcW w:w="7087" w:type="dxa"/>
          </w:tcPr>
          <w:p w:rsidR="009800FD" w:rsidRPr="003040E3" w:rsidRDefault="009800FD" w:rsidP="00D34B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="DengXian"/>
              </w:rPr>
            </w:pPr>
            <w:r>
              <w:rPr>
                <w:rFonts w:eastAsia="DengXian"/>
              </w:rPr>
              <w:t>T</w:t>
            </w:r>
            <w:r w:rsidRPr="003040E3">
              <w:rPr>
                <w:rFonts w:eastAsia="DengXian"/>
              </w:rPr>
              <w:t xml:space="preserve">he </w:t>
            </w:r>
            <w:r w:rsidRPr="003040E3">
              <w:rPr>
                <w:color w:val="242424"/>
              </w:rPr>
              <w:t>score</w:t>
            </w:r>
            <w:r w:rsidRPr="003040E3">
              <w:rPr>
                <w:rFonts w:eastAsia="DengXian"/>
              </w:rPr>
              <w:t xml:space="preserve"> that represents how accuratel</w:t>
            </w:r>
            <w:r>
              <w:rPr>
                <w:rFonts w:eastAsia="DengXian"/>
              </w:rPr>
              <w:t xml:space="preserve">y a light source will reproduce </w:t>
            </w:r>
            <w:r w:rsidRPr="003040E3">
              <w:rPr>
                <w:rFonts w:eastAsia="DengXian"/>
              </w:rPr>
              <w:t>strong red colo</w:t>
            </w:r>
            <w:r>
              <w:rPr>
                <w:rFonts w:eastAsia="DengXian"/>
              </w:rPr>
              <w:t>ur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Ra</w:t>
            </w:r>
          </w:p>
        </w:tc>
        <w:tc>
          <w:tcPr>
            <w:tcW w:w="7087" w:type="dxa"/>
          </w:tcPr>
          <w:p w:rsidR="009800FD" w:rsidRPr="002B1E9D" w:rsidRDefault="009800FD" w:rsidP="002B1E9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B1E9D">
              <w:rPr>
                <w:color w:val="242424"/>
              </w:rPr>
              <w:t>General Colour Rendering Index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REW</w:t>
            </w:r>
          </w:p>
        </w:tc>
        <w:tc>
          <w:tcPr>
            <w:tcW w:w="7087" w:type="dxa"/>
          </w:tcPr>
          <w:p w:rsidR="009800FD" w:rsidRPr="002B1E9D" w:rsidRDefault="009800FD" w:rsidP="002B1E9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B1E9D">
              <w:rPr>
                <w:color w:val="242424"/>
              </w:rPr>
              <w:t>Registered Electrical Workers</w:t>
            </w:r>
          </w:p>
        </w:tc>
      </w:tr>
      <w:tr w:rsidR="002B1E9D" w:rsidRPr="00EE037A" w:rsidTr="00D34B72">
        <w:trPr>
          <w:trHeight w:val="57"/>
        </w:trPr>
        <w:tc>
          <w:tcPr>
            <w:tcW w:w="1673" w:type="dxa"/>
          </w:tcPr>
          <w:p w:rsidR="002B1E9D" w:rsidRDefault="002B1E9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lastRenderedPageBreak/>
              <w:t>RoHS</w:t>
            </w:r>
          </w:p>
        </w:tc>
        <w:tc>
          <w:tcPr>
            <w:tcW w:w="7087" w:type="dxa"/>
          </w:tcPr>
          <w:p w:rsidR="002B1E9D" w:rsidRPr="002B1E9D" w:rsidRDefault="002B1E9D" w:rsidP="002B1E9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B1E9D">
              <w:rPr>
                <w:color w:val="242424"/>
              </w:rPr>
              <w:t>Restriction of Hazardous Substances in Electrical and Electronic Equipment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VA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Volt-Ampere</w:t>
            </w:r>
          </w:p>
        </w:tc>
      </w:tr>
      <w:tr w:rsidR="009800FD" w:rsidRPr="00EE037A" w:rsidTr="00D34B72">
        <w:trPr>
          <w:trHeight w:val="57"/>
        </w:trPr>
        <w:tc>
          <w:tcPr>
            <w:tcW w:w="1673" w:type="dxa"/>
          </w:tcPr>
          <w:p w:rsidR="009800FD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w/m</w:t>
            </w:r>
            <w:r w:rsidRPr="003040E3">
              <w:rPr>
                <w:bCs/>
                <w:kern w:val="1"/>
                <w:vertAlign w:val="superscript"/>
                <w:lang w:eastAsia="zh-HK"/>
              </w:rPr>
              <w:t>2</w:t>
            </w:r>
          </w:p>
        </w:tc>
        <w:tc>
          <w:tcPr>
            <w:tcW w:w="7087" w:type="dxa"/>
          </w:tcPr>
          <w:p w:rsidR="009800FD" w:rsidRPr="0031450A" w:rsidRDefault="009800FD" w:rsidP="00D34B72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Watt per square metre</w:t>
            </w:r>
          </w:p>
        </w:tc>
      </w:tr>
    </w:tbl>
    <w:p w:rsidR="00C032FB" w:rsidRDefault="00DB1F71" w:rsidP="002B1E9D"/>
    <w:sectPr w:rsidR="00C0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FD"/>
    <w:rsid w:val="00122684"/>
    <w:rsid w:val="002B1E9D"/>
    <w:rsid w:val="002E4F2B"/>
    <w:rsid w:val="004068EC"/>
    <w:rsid w:val="0052754A"/>
    <w:rsid w:val="005A2370"/>
    <w:rsid w:val="009800FD"/>
    <w:rsid w:val="00CA0F3A"/>
    <w:rsid w:val="00D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004"/>
  <w15:chartTrackingRefBased/>
  <w15:docId w15:val="{A4D1BEF1-C474-415E-9B53-FF5BF33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F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800FD"/>
    <w:pPr>
      <w:widowControl/>
      <w:spacing w:before="100" w:beforeAutospacing="1" w:after="100" w:afterAutospacing="1"/>
    </w:pPr>
    <w:rPr>
      <w:rFonts w:eastAsia="Times New Roman"/>
      <w:kern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7</cp:revision>
  <dcterms:created xsi:type="dcterms:W3CDTF">2024-05-24T08:17:00Z</dcterms:created>
  <dcterms:modified xsi:type="dcterms:W3CDTF">2024-05-28T07:07:00Z</dcterms:modified>
</cp:coreProperties>
</file>